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7.png" ContentType="image/png"/>
  <Override PartName="/word/media/rId23.png" ContentType="image/png"/>
  <Override PartName="/word/media/rId36.png" ContentType="image/png"/>
  <Override PartName="/word/media/rId40.png" ContentType="image/png"/>
  <Override PartName="/word/media/rId30.png" ContentType="image/png"/>
  <Override PartName="/word/media/rId44.png" ContentType="image/png"/>
  <Override PartName="/word/media/rId49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73.png" ContentType="image/png"/>
  <Override PartName="/word/media/rId76.png" ContentType="image/png"/>
  <Override PartName="/word/media/rId70.png" ContentType="image/png"/>
  <Override PartName="/word/media/rId81.png" ContentType="image/png"/>
  <Override PartName="/word/media/rId8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本引言为上篇引言续🚀🚀</w:t>
      </w:r>
      <w:r>
        <w:br w:type="textWrapping"/>
      </w:r>
      <w:r>
        <w:drawing>
          <wp:inline>
            <wp:extent cx="5334000" cy="227773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647272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4" w:name="知识总览思维导图"/>
      <w:bookmarkEnd w:id="24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13720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6382577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FigureWithCaption"/>
      </w:pPr>
      <w:r>
        <w:drawing>
          <wp:inline>
            <wp:extent cx="5334000" cy="24990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705106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1" w:name="tips-逻辑结构vs物理结构"/>
      <w:bookmarkEnd w:id="31"/>
      <w:r>
        <w:t xml:space="preserve">Tips (逻辑结构VS物理结构)</w:t>
      </w:r>
    </w:p>
    <w:p>
      <w:pPr>
        <w:pStyle w:val="Heading2"/>
      </w:pPr>
      <w:bookmarkStart w:id="32" w:name="逻辑结构物理结构定义"/>
      <w:bookmarkEnd w:id="32"/>
      <w:r>
        <w:t xml:space="preserve">逻辑结构、物理结构定义</w:t>
      </w:r>
    </w:p>
    <w:p>
      <w:pPr>
        <w:numPr>
          <w:numId w:val="1001"/>
          <w:ilvl w:val="0"/>
        </w:numPr>
      </w:pPr>
      <w:r>
        <w:rPr>
          <w:b/>
        </w:rPr>
        <w:t xml:space="preserve">物理结构</w:t>
      </w:r>
      <w:r>
        <w:t xml:space="preserve">：本质上来看是当我们在进行数据的存储时，操作系统会将数据保存到硬盘中，但是他会以什么样的方式存储就是所谓的物理结构，例如操作系统可能会以顺序或者链式的方式存储数据。对于用户而言，操作系统对数据的存储是不可见的。用户并不关心。</w:t>
      </w:r>
    </w:p>
    <w:p>
      <w:pPr>
        <w:numPr>
          <w:numId w:val="1001"/>
          <w:ilvl w:val="0"/>
        </w:numPr>
      </w:pPr>
      <w:r>
        <w:rPr>
          <w:b/>
        </w:rPr>
        <w:t xml:space="preserve">逻辑结构</w:t>
      </w:r>
      <w:r>
        <w:t xml:space="preserve">：本质上来看是用户在编写程序时，用何种方式来组织数据，文件的逻辑结构是用户来定义的，只是表示一个数据和一个数据的前后逻辑关系是什么样的。操作系统并不关心。</w:t>
      </w:r>
    </w:p>
    <w:p>
      <w:pPr>
        <w:pStyle w:val="Heading2"/>
      </w:pPr>
      <w:bookmarkStart w:id="33" w:name="顺序文件顺序存储链式存储）"/>
      <w:bookmarkEnd w:id="33"/>
      <w:r>
        <w:t xml:space="preserve">顺序文件（顺序存储、链式存储）</w:t>
      </w:r>
    </w:p>
    <w:p>
      <w:pPr>
        <w:pStyle w:val="FigureWithCaption"/>
      </w:pPr>
      <w:r>
        <w:drawing>
          <wp:inline>
            <wp:extent cx="5334000" cy="49917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6590844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1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7" w:name="索引文件索引分配）"/>
      <w:bookmarkEnd w:id="37"/>
      <w:r>
        <w:t xml:space="preserve">索引文件（索引分配）</w:t>
      </w:r>
    </w:p>
    <w:p>
      <w:pPr>
        <w:pStyle w:val="FigureWithCaption"/>
      </w:pPr>
      <w:r>
        <w:drawing>
          <wp:inline>
            <wp:extent cx="5334000" cy="24175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7023738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7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1" w:name="存储空间的划分与初始化"/>
      <w:bookmarkEnd w:id="41"/>
      <w:r>
        <w:t xml:space="preserve">存储空间的划分与初始化</w:t>
      </w:r>
    </w:p>
    <w:p>
      <w:pPr>
        <w:pStyle w:val="FirstParagraph"/>
      </w:pPr>
      <w:r>
        <w:t xml:space="preserve"> </w:t>
      </w:r>
      <w:r>
        <w:drawing>
          <wp:inline>
            <wp:extent cx="5334000" cy="257832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7102871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5" w:name="存储空间管理"/>
      <w:bookmarkEnd w:id="45"/>
      <w:r>
        <w:t xml:space="preserve">存储空间管理</w:t>
      </w:r>
    </w:p>
    <w:p>
      <w:pPr>
        <w:pStyle w:val="FirstParagraph"/>
      </w:pPr>
      <w:r>
        <w:rPr>
          <w:shd w:val="clear" w:fill="ffff00"/>
        </w:rPr>
        <w:t>下面图中 绿色方格代表空闲、橘色方格代表不空闲</w:t>
      </w:r>
    </w:p>
    <w:p>
      <w:pPr>
        <w:pStyle w:val="Heading2"/>
      </w:pPr>
      <w:bookmarkStart w:id="46" w:name="空闲表法"/>
      <w:bookmarkEnd w:id="46"/>
      <w:r>
        <w:t xml:space="preserve">空闲表法</w:t>
      </w:r>
    </w:p>
    <w:p>
      <w:pPr>
        <w:numPr>
          <w:numId w:val="1002"/>
          <w:ilvl w:val="0"/>
        </w:numPr>
      </w:pPr>
      <w:r>
        <w:t xml:space="preserve">空闲表法适用于连续分配方式</w:t>
      </w:r>
    </w:p>
    <w:p>
      <w:pPr>
        <w:pStyle w:val="BlockText"/>
      </w:pPr>
      <w:r>
        <w:t xml:space="preserve">对空闲块表进行空间分配与空间回收的流程</w:t>
      </w:r>
    </w:p>
    <w:p>
      <w:pPr>
        <w:pStyle w:val="FigureWithCaption"/>
      </w:pPr>
      <w:r>
        <w:drawing>
          <wp:inline>
            <wp:extent cx="5334000" cy="24145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7283375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空闲链表法"/>
      <w:bookmarkEnd w:id="50"/>
      <w:r>
        <w:t xml:space="preserve">空闲链表法</w:t>
      </w:r>
    </w:p>
    <w:p>
      <w:pPr>
        <w:pStyle w:val="FirstParagraph"/>
      </w:pPr>
      <w:r>
        <w:t xml:space="preserve"> </w:t>
      </w:r>
      <w:r>
        <w:drawing>
          <wp:inline>
            <wp:extent cx="5334000" cy="281486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7335854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空闲盘块链的回收</w:t>
      </w:r>
      <w:r>
        <w:br w:type="textWrapping"/>
      </w:r>
      <w:r>
        <w:drawing>
          <wp:inline>
            <wp:extent cx="5334000" cy="229212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740091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空闲盘区链的回收</w:t>
      </w:r>
      <w:r>
        <w:br w:type="textWrapping"/>
      </w:r>
      <w:r>
        <w:drawing>
          <wp:inline>
            <wp:extent cx="5334000" cy="234901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742456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位示图法"/>
      <w:bookmarkEnd w:id="60"/>
      <w:r>
        <w:t xml:space="preserve">位示图法</w:t>
      </w:r>
    </w:p>
    <w:p>
      <w:pPr>
        <w:numPr>
          <w:numId w:val="1003"/>
          <w:ilvl w:val="0"/>
        </w:numPr>
      </w:pPr>
      <w:r>
        <w:t xml:space="preserve">在连续分配与离散分配的情况下都适用</w:t>
      </w:r>
      <w:r>
        <w:br w:type="textWrapping"/>
      </w:r>
      <w:r>
        <w:drawing>
          <wp:inline>
            <wp:extent cx="5334000" cy="292499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7534574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如何进行磁盘的分配与回收</w:t>
      </w:r>
      <w:r>
        <w:br w:type="textWrapping"/>
      </w:r>
      <w:r>
        <w:drawing>
          <wp:inline>
            <wp:extent cx="5334000" cy="248508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800388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5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成组链接法"/>
      <w:bookmarkEnd w:id="67"/>
      <w:r>
        <w:t xml:space="preserve">成组链接法</w:t>
      </w:r>
    </w:p>
    <w:p>
      <w:pPr>
        <w:numPr>
          <w:numId w:val="1004"/>
          <w:ilvl w:val="0"/>
        </w:numPr>
      </w:pPr>
      <w:r>
        <w:t xml:space="preserve">空闲表法、空闲链表法不适用于大型文件系统，</w:t>
      </w:r>
      <w:r>
        <w:rPr>
          <w:b/>
        </w:rPr>
        <w:t xml:space="preserve">因为空闲表或空闲链表可能过大</w:t>
      </w:r>
      <w:r>
        <w:t xml:space="preserve">。UNIX系统中采用了</w:t>
      </w:r>
      <w:r>
        <w:rPr>
          <w:shd w:val="clear" w:fill="ffff00"/>
        </w:rPr>
        <w:t>成组链接法</w:t>
      </w:r>
      <w:r>
        <w:t xml:space="preserve">对磁盘空闲块进行管理。</w:t>
      </w:r>
    </w:p>
    <w:p>
      <w:pPr>
        <w:numPr>
          <w:numId w:val="1004"/>
          <w:ilvl w:val="0"/>
        </w:numPr>
      </w:pPr>
      <w:r>
        <w:rPr>
          <w:shd w:val="clear" w:fill="ffff00"/>
        </w:rPr>
        <w:t>文件卷的目录区</w:t>
      </w:r>
      <w:r>
        <w:t xml:space="preserve">中专门用一个磁盘块作为“</w:t>
      </w:r>
      <w:r>
        <w:rPr>
          <w:shd w:val="clear" w:fill="ffff00"/>
        </w:rPr>
        <w:t>超级块</w:t>
      </w:r>
      <w:r>
        <w:t xml:space="preserve">”，当系统启动时需要将超级块读入内存。并且要保证内存与外存中的“超级块”数据一致。</w:t>
      </w:r>
    </w:p>
    <w:p>
      <w:pPr>
        <w:pStyle w:val="FigureWithCaption"/>
      </w:pPr>
      <w:r>
        <w:drawing>
          <wp:inline>
            <wp:extent cx="5334000" cy="30920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840496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FigureWithCaption"/>
      </w:pPr>
      <w:r>
        <w:drawing>
          <wp:inline>
            <wp:extent cx="5334000" cy="26802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824534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rPr>
          <w:b/>
        </w:rPr>
        <w:t xml:space="preserve">如何分配？</w:t>
      </w:r>
    </w:p>
    <w:p>
      <w:pPr>
        <w:numPr>
          <w:numId w:val="1005"/>
          <w:ilvl w:val="0"/>
        </w:numPr>
      </w:pPr>
      <w:r>
        <w:t xml:space="preserve">Eg：需要100个空闲块①检査第一个分组的块数是否足够。100=100，是足够的。②分配第一个分组中的100个空闲块。</w:t>
      </w:r>
      <w:r>
        <w:rPr>
          <w:shd w:val="clear" w:fill="ffff00"/>
        </w:rPr>
        <w:t>但是由于300号块内存放了再下一组的信息，因此300号块的数据需要复制到超级块中。</w:t>
      </w:r>
      <w:r>
        <w:t xml:space="preserve">如下图</w:t>
      </w:r>
      <w:r>
        <w:br w:type="textWrapping"/>
      </w:r>
      <w:r>
        <w:drawing>
          <wp:inline>
            <wp:extent cx="5334000" cy="287797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83025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5"/>
          <w:ilvl w:val="0"/>
        </w:numPr>
      </w:pPr>
      <w:r>
        <w:rPr>
          <w:b/>
        </w:rPr>
        <w:t xml:space="preserve">如何回收？</w:t>
      </w:r>
    </w:p>
    <w:p>
      <w:pPr>
        <w:pStyle w:val="FirstParagraph"/>
      </w:pPr>
      <w:hyperlink r:id="rId77">
        <w:r>
          <w:rPr>
            <w:rStyle w:val="Hyperlink"/>
          </w:rPr>
          <w:t xml:space="preserve">参考链接1</w:t>
        </w:r>
      </w:hyperlink>
      <w:r>
        <w:br w:type="textWrapping"/>
      </w:r>
      <w:hyperlink r:id="rId78">
        <w:r>
          <w:rPr>
            <w:rStyle w:val="Hyperlink"/>
          </w:rPr>
          <w:t xml:space="preserve">参考链接2</w:t>
        </w:r>
      </w:hyperlink>
      <w:r>
        <w:br w:type="textWrapping"/>
      </w:r>
      <w:r>
        <w:drawing>
          <wp:inline>
            <wp:extent cx="5334000" cy="28908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418420430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0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2" w:name="知识点回顾思维导图"/>
      <w:bookmarkEnd w:id="82"/>
      <w:r>
        <w:t xml:space="preserve">知识点回顾思维导图</w:t>
      </w:r>
    </w:p>
    <w:p>
      <w:pPr>
        <w:pStyle w:val="FigureWithCaption"/>
      </w:pPr>
      <w:r>
        <w:drawing>
          <wp:inline>
            <wp:extent cx="5334000" cy="25873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41843472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7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d35d71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6d39f8a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7" Target="media/rId27.png" /><Relationship Type="http://schemas.openxmlformats.org/officeDocument/2006/relationships/image" Id="rId23" Target="media/rId23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30" Target="media/rId3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0" Target="media/rId70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hyperlink" Id="rId77" Target="https://blog.csdn.net/qq_41587740/article/details/109055716" TargetMode="External" /><Relationship Type="http://schemas.openxmlformats.org/officeDocument/2006/relationships/hyperlink" Id="rId78" Target="https://blog.csdn.net/weixin_43914604/article/details/106373112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77" Target="https://blog.csdn.net/qq_41587740/article/details/109055716" TargetMode="External" /><Relationship Type="http://schemas.openxmlformats.org/officeDocument/2006/relationships/hyperlink" Id="rId78" Target="https://blog.csdn.net/weixin_43914604/article/details/1063731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2021-07-15T09:56:05Z</dcterms:created>
  <dcterms:modified xsi:type="dcterms:W3CDTF">2021-07-15T09:56:05Z</dcterms:modified>
</cp:coreProperties>
</file>